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14:paraId="686D8DE4" w14:textId="77777777" w:rsidTr="00E86DFC">
        <w:tc>
          <w:tcPr>
            <w:tcW w:w="903" w:type="pct"/>
            <w:shd w:val="clear" w:color="auto" w:fill="auto"/>
          </w:tcPr>
          <w:p w14:paraId="6CD3AFBE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245FC11F" wp14:editId="08808374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1009F0F5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53FADAA" wp14:editId="36F63943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94815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097F28D2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14:paraId="6E4DB5EF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36499420" w14:textId="77777777" w:rsidR="00BE5F93" w:rsidRPr="00055FB5" w:rsidRDefault="00BE5F93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E42DE4" w:rsidRPr="00055FB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Проектирование электронных с</w:t>
      </w:r>
      <w:r w:rsidR="00D64E44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РЕДСТВ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3FC464AB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 xml:space="preserve">Часть </w:t>
      </w:r>
      <w:r w:rsidR="008649C8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2</w:t>
      </w:r>
    </w:p>
    <w:p w14:paraId="6C56D42D" w14:textId="20B8F27E" w:rsidR="00BE5F93" w:rsidRPr="00055FB5" w:rsidRDefault="00B878EA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bookmarkStart w:id="0" w:name="_GoBack"/>
      <w:bookmarkEnd w:id="0"/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F5059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68456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5A16BD4E" w14:textId="77777777" w:rsidR="00C71B49" w:rsidRPr="00055FB5" w:rsidRDefault="00C71B49" w:rsidP="00C71B49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02 01 «Моделирование и компьютерное</w:t>
      </w:r>
    </w:p>
    <w:p w14:paraId="35693606" w14:textId="77777777" w:rsidR="00D16A46" w:rsidRPr="00055FB5" w:rsidRDefault="00C71B49" w:rsidP="00C71B49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проектирование радиоэлектронных средств»</w:t>
      </w:r>
    </w:p>
    <w:p w14:paraId="204A521B" w14:textId="77777777" w:rsidR="00C71B49" w:rsidRPr="00055FB5" w:rsidRDefault="00470806" w:rsidP="00C71B4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(группа </w:t>
      </w:r>
      <w:r w:rsidR="00D64E44">
        <w:rPr>
          <w:rFonts w:ascii="Bookman Old Style" w:hAnsi="Bookman Old Style"/>
          <w:b/>
          <w:color w:val="008000"/>
          <w:sz w:val="28"/>
          <w:szCs w:val="28"/>
          <w:lang w:val="en-US"/>
        </w:rPr>
        <w:t>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12601)</w:t>
      </w:r>
    </w:p>
    <w:p w14:paraId="5E3CAC0D" w14:textId="77777777" w:rsidR="00BE5F93" w:rsidRPr="00055FB5" w:rsidRDefault="00BE5F9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16"/>
          <w:szCs w:val="16"/>
        </w:rPr>
      </w:pPr>
    </w:p>
    <w:p w14:paraId="58A14B2F" w14:textId="77777777" w:rsidR="00DA31D6" w:rsidRDefault="00DA31D6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31D6">
        <w:rPr>
          <w:rFonts w:ascii="Times New Roman" w:eastAsia="Times New Roman" w:hAnsi="Times New Roman" w:cs="Times New Roman"/>
          <w:sz w:val="28"/>
          <w:szCs w:val="28"/>
        </w:rPr>
        <w:t>Виды и типы схем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CE2975" w14:textId="77777777" w:rsidR="00DA31D6" w:rsidRDefault="00DA31D6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31D6">
        <w:rPr>
          <w:rFonts w:ascii="Times New Roman" w:eastAsia="Times New Roman" w:hAnsi="Times New Roman" w:cs="Times New Roman"/>
          <w:sz w:val="28"/>
          <w:szCs w:val="28"/>
        </w:rPr>
        <w:t xml:space="preserve">Общие </w:t>
      </w:r>
      <w:r w:rsidR="007D01C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DA31D6">
        <w:rPr>
          <w:rFonts w:ascii="Times New Roman" w:eastAsia="Times New Roman" w:hAnsi="Times New Roman" w:cs="Times New Roman"/>
          <w:sz w:val="28"/>
          <w:szCs w:val="28"/>
        </w:rPr>
        <w:t xml:space="preserve"> выполнени</w:t>
      </w:r>
      <w:r w:rsidR="007D01C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схем.</w:t>
      </w:r>
    </w:p>
    <w:p w14:paraId="0619501D" w14:textId="77777777" w:rsidR="00DA31D6" w:rsidRDefault="00DA31D6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31D6">
        <w:rPr>
          <w:rFonts w:ascii="Times New Roman" w:eastAsia="Times New Roman" w:hAnsi="Times New Roman" w:cs="Times New Roman"/>
          <w:sz w:val="28"/>
          <w:szCs w:val="28"/>
        </w:rPr>
        <w:t>Построение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231D83" w14:textId="77777777" w:rsidR="00DA31D6" w:rsidRDefault="007D01C3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Размеры условных г</w:t>
      </w:r>
      <w:r w:rsidR="00DA31D6" w:rsidRPr="00DA31D6">
        <w:rPr>
          <w:rFonts w:ascii="Times New Roman" w:eastAsia="Times New Roman" w:hAnsi="Times New Roman" w:cs="Times New Roman"/>
          <w:sz w:val="28"/>
          <w:szCs w:val="28"/>
        </w:rPr>
        <w:t>рафически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A31D6" w:rsidRPr="00DA31D6">
        <w:rPr>
          <w:rFonts w:ascii="Times New Roman" w:eastAsia="Times New Roman" w:hAnsi="Times New Roman" w:cs="Times New Roman"/>
          <w:sz w:val="28"/>
          <w:szCs w:val="28"/>
        </w:rPr>
        <w:t xml:space="preserve"> обозначени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27458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Ориентация условных г</w:t>
      </w:r>
      <w:r w:rsidRPr="00DA31D6">
        <w:rPr>
          <w:rFonts w:ascii="Times New Roman" w:eastAsia="Times New Roman" w:hAnsi="Times New Roman" w:cs="Times New Roman"/>
          <w:sz w:val="28"/>
          <w:szCs w:val="28"/>
        </w:rPr>
        <w:t>рафически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A31D6">
        <w:rPr>
          <w:rFonts w:ascii="Times New Roman" w:eastAsia="Times New Roman" w:hAnsi="Times New Roman" w:cs="Times New Roman"/>
          <w:sz w:val="28"/>
          <w:szCs w:val="28"/>
        </w:rPr>
        <w:t xml:space="preserve"> обозначени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</w:p>
    <w:p w14:paraId="222FEE2D" w14:textId="77777777" w:rsidR="00274588" w:rsidRDefault="00CB672B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B672B">
        <w:rPr>
          <w:rFonts w:ascii="Times New Roman" w:eastAsia="Times New Roman" w:hAnsi="Times New Roman" w:cs="Times New Roman"/>
          <w:sz w:val="28"/>
          <w:szCs w:val="28"/>
        </w:rPr>
        <w:t xml:space="preserve">инии </w:t>
      </w:r>
      <w:r w:rsidR="007D01C3">
        <w:rPr>
          <w:rFonts w:ascii="Times New Roman" w:eastAsia="Times New Roman" w:hAnsi="Times New Roman" w:cs="Times New Roman"/>
          <w:sz w:val="28"/>
          <w:szCs w:val="28"/>
        </w:rPr>
        <w:t>на схемах. Линии групповой связи. Прерывание линий.</w:t>
      </w:r>
    </w:p>
    <w:p w14:paraId="23D1080B" w14:textId="77777777" w:rsidR="00CB672B" w:rsidRDefault="00CB672B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672B">
        <w:rPr>
          <w:rFonts w:ascii="Times New Roman" w:eastAsia="Times New Roman" w:hAnsi="Times New Roman" w:cs="Times New Roman"/>
          <w:sz w:val="28"/>
          <w:szCs w:val="28"/>
        </w:rPr>
        <w:t>Текстовая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1C3">
        <w:rPr>
          <w:rFonts w:ascii="Times New Roman" w:eastAsia="Times New Roman" w:hAnsi="Times New Roman" w:cs="Times New Roman"/>
          <w:sz w:val="28"/>
          <w:szCs w:val="28"/>
        </w:rPr>
        <w:t>на схемах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2E63B7" w14:textId="77777777" w:rsidR="00CB672B" w:rsidRDefault="00CB672B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выполнения перечня элементов.</w:t>
      </w:r>
    </w:p>
    <w:p w14:paraId="7FB43586" w14:textId="77777777" w:rsidR="00CB672B" w:rsidRDefault="007D01C3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Структурная схема. Правила выполнения структурных схем.</w:t>
      </w:r>
    </w:p>
    <w:p w14:paraId="3F7651E9" w14:textId="77777777" w:rsidR="007D01C3" w:rsidRDefault="007D01C3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Функциональная схема. Правила выполнения функциональных схем.</w:t>
      </w:r>
    </w:p>
    <w:p w14:paraId="393137C7" w14:textId="77777777" w:rsidR="007D01C3" w:rsidRDefault="007D01C3" w:rsidP="007D01C3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Принципиальная схема. Правила выполнения принципиальных схем.</w:t>
      </w:r>
    </w:p>
    <w:p w14:paraId="3035A8DB" w14:textId="77777777" w:rsidR="007D01C3" w:rsidRDefault="007D01C3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соединений. Правила выполнения схем соединений.</w:t>
      </w:r>
    </w:p>
    <w:p w14:paraId="159BB20D" w14:textId="77777777" w:rsidR="007D01C3" w:rsidRDefault="007D01C3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подключения. Правила выполнения схем подключений.</w:t>
      </w:r>
    </w:p>
    <w:p w14:paraId="110A640F" w14:textId="77777777" w:rsidR="007D01C3" w:rsidRDefault="007D01C3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Схемы цифровой вычислительной техники.</w:t>
      </w:r>
    </w:p>
    <w:p w14:paraId="56AD43ED" w14:textId="77777777" w:rsidR="007D01C3" w:rsidRDefault="007D01C3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Условные буквенно-цифровые обозначения в электрических схемах.</w:t>
      </w:r>
    </w:p>
    <w:p w14:paraId="5013C8F1" w14:textId="77777777" w:rsidR="005C4C7D" w:rsidRDefault="005C4C7D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Сущность процесса проектирования электронных модулей, устройств и систем. Понятие инженерного проектирования.</w:t>
      </w:r>
    </w:p>
    <w:p w14:paraId="2210AA55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Печатные платы. Основные определения.</w:t>
      </w:r>
    </w:p>
    <w:p w14:paraId="74633E1E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Краткая характеристика стандартов, используемых для проектирования печатных плат.</w:t>
      </w:r>
    </w:p>
    <w:p w14:paraId="1E52EA6E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Конструкторские требования и характеристики печатных плат. Электрические требования и характеристики ПП.</w:t>
      </w:r>
    </w:p>
    <w:p w14:paraId="6DF8363B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 xml:space="preserve">Требования по устойчивости ПП к климатическим и механическим воздействиям. </w:t>
      </w:r>
    </w:p>
    <w:p w14:paraId="66455F15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Технологические требования к ПП.</w:t>
      </w:r>
    </w:p>
    <w:p w14:paraId="0E5D86F8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 xml:space="preserve">Базовые и расходные материалы ПП. </w:t>
      </w:r>
    </w:p>
    <w:p w14:paraId="350F7F82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Материалы для изготовления односторонних, двусторонних и многослойных печатных плат.</w:t>
      </w:r>
    </w:p>
    <w:p w14:paraId="2E9B6689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Импортные материалы в производстве печатных плат. Покрытия.</w:t>
      </w:r>
    </w:p>
    <w:p w14:paraId="1AB9541D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Структурная схема конструкторско-технологического проектирования ПП.</w:t>
      </w:r>
    </w:p>
    <w:p w14:paraId="52DC94CE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 xml:space="preserve">Выбор типа конструкции блока РЭУ. Выбор компоновочной структуры ячеек РЭУ. </w:t>
      </w:r>
    </w:p>
    <w:p w14:paraId="73458C7B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Выбор типа конструкции ПП. Выбор класса точности ПП.</w:t>
      </w:r>
    </w:p>
    <w:p w14:paraId="4E2B4F3B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Выбор методы изготовления ПП. Выбор материала основания ПП.</w:t>
      </w:r>
    </w:p>
    <w:p w14:paraId="6E8B70B5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Разработка компоновочных эскизов ячейки и выбор габаритных размеров ПП. Определение толщины ПП.</w:t>
      </w:r>
    </w:p>
    <w:p w14:paraId="766FCDA1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Определение числа слоев и толщины МПП.</w:t>
      </w:r>
    </w:p>
    <w:p w14:paraId="3A309FAF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Расчет элементов проводящего рисунка ПП. Расчет электрических параметров ПП.</w:t>
      </w:r>
    </w:p>
    <w:p w14:paraId="766AE2B3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Правила выполнения чертежей печатных плат.</w:t>
      </w:r>
    </w:p>
    <w:p w14:paraId="7D87DCF7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Правила выполнения сборочных чертежей. Установка элементов на печатные платы.</w:t>
      </w:r>
    </w:p>
    <w:p w14:paraId="6034FE51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технических требований на чертеж печатной платы и сборочный чертеж печатной платы. </w:t>
      </w:r>
    </w:p>
    <w:p w14:paraId="6C0D5CBD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Особенности оформления конструкторской документации на чертежи печатной платы при автоматизированном проектировании.</w:t>
      </w:r>
    </w:p>
    <w:p w14:paraId="57ABAD67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Структура системы «человек–машина».</w:t>
      </w:r>
    </w:p>
    <w:p w14:paraId="7028343D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Особенности функционирования системы «человек–машина». Стадии приема информации.</w:t>
      </w:r>
    </w:p>
    <w:p w14:paraId="5168F09C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Этапы деятельности оператора в системе «Человек–машина».</w:t>
      </w:r>
    </w:p>
    <w:p w14:paraId="41E3729A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Виды, принцип работы, характеристики и свойства анализаторов. Общая характеристика зрительного анализатора.</w:t>
      </w:r>
    </w:p>
    <w:p w14:paraId="4DB0674B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Энергетические, информационные, пространственные и временные характеристики.</w:t>
      </w:r>
    </w:p>
    <w:p w14:paraId="037790ED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Характеристики слухового анализатора.</w:t>
      </w:r>
    </w:p>
    <w:p w14:paraId="1CFF7E0F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Абсолютные и дифференциальные пороги чувствительности по частоте, интенсивности, времени и пространству.</w:t>
      </w:r>
    </w:p>
    <w:p w14:paraId="1093D480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тактильного анализатора. Абсолютный и дифференциальный пороги чувствительности. </w:t>
      </w:r>
    </w:p>
    <w:p w14:paraId="124BFE2E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Взаимодействие анализаторов при приеме информации. Антропометрические характеристики человека.</w:t>
      </w:r>
    </w:p>
    <w:p w14:paraId="0862EFB9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 xml:space="preserve">Постоянная и оперативная память оператора. Характеристики оперативной памяти. </w:t>
      </w:r>
    </w:p>
    <w:p w14:paraId="56934AD9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Долговременная и кратковременная память. Процессы памяти.</w:t>
      </w:r>
    </w:p>
    <w:p w14:paraId="6BAB3AF9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Принятие решения оператором. Условия, определяющие реализацию решения. Виды решения. Управляющие действия оператора.</w:t>
      </w:r>
    </w:p>
    <w:p w14:paraId="230261FD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Виды движения. Характеристики управляющих движений.</w:t>
      </w:r>
    </w:p>
    <w:p w14:paraId="2D75E062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Связь восприятия и движения. Виды сенсомоторных реакций.</w:t>
      </w:r>
    </w:p>
    <w:p w14:paraId="1E2DCF4B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Ошибки реакций оператора. Факторы, влияющие на ошибки оператора.</w:t>
      </w:r>
    </w:p>
    <w:p w14:paraId="5E7632DB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Алгоритм работы оператора. Стереотипность и логическая сложность алгоритма.</w:t>
      </w:r>
    </w:p>
    <w:p w14:paraId="7789E7C1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коэффициентов стереотипности и логической сложности. Информационная нагрузка оператора.</w:t>
      </w:r>
    </w:p>
    <w:p w14:paraId="008CBC0C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Классификация средств отображения информации. Инженерно-психологические требования к отдельным видам визуальной индикации.</w:t>
      </w:r>
    </w:p>
    <w:p w14:paraId="3216BF40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Кодирование визуальной информации.</w:t>
      </w:r>
    </w:p>
    <w:p w14:paraId="2DB3B825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Инженерно-психологические требования к акустической индикации.</w:t>
      </w:r>
    </w:p>
    <w:p w14:paraId="62AC23C4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органов управления. Инженерно-психологические требования к отдельным типам органов управления. Требования к совместному расположению индикаторов и органов управления. </w:t>
      </w:r>
    </w:p>
    <w:p w14:paraId="00E500DE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Классификация рабочих мест оператора.</w:t>
      </w:r>
    </w:p>
    <w:p w14:paraId="6C5EFA98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Инженерно-психологические требования к пультам управления. Инженерно-психологические характеристики пультов управления. Связь геометрических размеров пультов управления с антропометрическими характеристиками человека.</w:t>
      </w:r>
    </w:p>
    <w:p w14:paraId="12C09109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Подготовка и анализ исходных данных для проектирования панелей управления. Определение размеров панелей управления.</w:t>
      </w:r>
    </w:p>
    <w:p w14:paraId="0088B002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Определение размеров компонентов панелей управления. Определение светотехнических характеристик компонентов панелей управления.</w:t>
      </w:r>
    </w:p>
    <w:p w14:paraId="16D4F6E0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Компоновка и структурирование панелей управления. Требования к органам индикации, управления, коммутации, надписям и их размещению на панелях управления.</w:t>
      </w:r>
    </w:p>
    <w:p w14:paraId="030FA10F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Принципы композиции. Учет особенностей зрительного восприятия при композиционном построении РЭУ.</w:t>
      </w:r>
    </w:p>
    <w:p w14:paraId="09A2657A" w14:textId="77777777" w:rsidR="008649C8" w:rsidRPr="008649C8" w:rsidRDefault="008649C8" w:rsidP="008649C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9C8">
        <w:rPr>
          <w:rFonts w:ascii="Times New Roman" w:eastAsia="Times New Roman" w:hAnsi="Times New Roman" w:cs="Times New Roman"/>
          <w:sz w:val="28"/>
          <w:szCs w:val="28"/>
        </w:rPr>
        <w:t>Основные принципы применения цвета. Факторы, влияющие на выбор цветового решения. Основные рекомендации по цветовой композиции. Связь композиции и цветокомпозиции.</w:t>
      </w:r>
    </w:p>
    <w:p w14:paraId="361BAAD0" w14:textId="77777777" w:rsidR="008649C8" w:rsidRDefault="008649C8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</w:rPr>
      </w:pPr>
    </w:p>
    <w:p w14:paraId="5E74CA33" w14:textId="77777777" w:rsidR="003D507A" w:rsidRPr="00055FB5" w:rsidRDefault="003D507A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</w:rPr>
        <w:t>ЛИТЕРАТУРА</w:t>
      </w:r>
    </w:p>
    <w:p w14:paraId="417DFB44" w14:textId="77777777" w:rsidR="003D507A" w:rsidRPr="00055FB5" w:rsidRDefault="003D507A" w:rsidP="003D507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1D3965" w14:textId="77777777"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Алексеев, В.Ф. Принципы конструирования и автоматизации проектирования РЭУ : учеб. пособие / В.Ф. Алексеев. – Минск : БГУИР, 2003. – 197 с.</w:t>
      </w:r>
    </w:p>
    <w:p w14:paraId="112F9B6E" w14:textId="77777777" w:rsidR="006115D5" w:rsidRPr="00055FB5" w:rsidRDefault="006115D5" w:rsidP="006115D5">
      <w:pPr>
        <w:pStyle w:val="ac"/>
        <w:numPr>
          <w:ilvl w:val="0"/>
          <w:numId w:val="7"/>
        </w:numPr>
        <w:tabs>
          <w:tab w:val="clear" w:pos="360"/>
          <w:tab w:val="left" w:pos="-4111"/>
          <w:tab w:val="num" w:pos="-255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FB5">
        <w:rPr>
          <w:rFonts w:ascii="Times New Roman" w:hAnsi="Times New Roman"/>
          <w:sz w:val="28"/>
          <w:szCs w:val="28"/>
        </w:rPr>
        <w:t>Гелль, П.П. Конструирование и микроминиатюризация радиоэлектронной аппаратуры : учебник для вузов / П.П. Гелль, Н.К. Иванов-Есипо- вич. – Л. : Энергоатомиздат, 1984. – 536 с.</w:t>
      </w:r>
    </w:p>
    <w:p w14:paraId="6A6A863A" w14:textId="77777777"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Гжиров, Р.И. Краткий справочник конструктора : справочник /</w:t>
      </w:r>
      <w:r w:rsidR="00B67AEF">
        <w:rPr>
          <w:rFonts w:ascii="Times New Roman" w:hAnsi="Times New Roman" w:cs="Times New Roman"/>
          <w:sz w:val="28"/>
          <w:szCs w:val="28"/>
        </w:rPr>
        <w:t xml:space="preserve"> </w:t>
      </w:r>
      <w:r w:rsidRPr="00055FB5">
        <w:rPr>
          <w:rFonts w:ascii="Times New Roman" w:hAnsi="Times New Roman" w:cs="Times New Roman"/>
          <w:sz w:val="28"/>
          <w:szCs w:val="28"/>
        </w:rPr>
        <w:t xml:space="preserve">Р.И. Гжиров. – Л. : Машиностроение, 1983. </w:t>
      </w:r>
    </w:p>
    <w:p w14:paraId="13AC52EA" w14:textId="77777777"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Джонс, Дж. К. Методы проектирования / Дж. К.Джонс ; пер. с англ. – 2-е изд., доп. – М. : Мир, 1986. – 326 с.</w:t>
      </w:r>
    </w:p>
    <w:p w14:paraId="54F58770" w14:textId="77777777"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111"/>
          <w:tab w:val="num" w:pos="-255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Мироненко, И.Г. Автоматизированное проектирование узлов и боков РЭА средствами современных САПР : учеб. пособие для вузов / И.Г. Мироненко, В.Ю. Суходольский, К.К. Холуянов ; под ред. И.Г. Мироненко. – М. : Высш. шк., 2002. – 391 с.</w:t>
      </w:r>
    </w:p>
    <w:p w14:paraId="6A59C8E0" w14:textId="77777777"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lastRenderedPageBreak/>
        <w:t>Ненашев, А.П. Конструирование радиоэлектронной аппаратуры : учебник для радиотех. спец. вузов / А.П. Ненашев. – М. : Высш. шк., 1990. – 432 с.</w:t>
      </w:r>
    </w:p>
    <w:p w14:paraId="117C1684" w14:textId="77777777"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Разработка и оформление конструкторской документации РЭА : справочник / Э.Т. Романычева [и др.]. – М. : Радио и связь, 1989. – 249 с.</w:t>
      </w:r>
    </w:p>
    <w:p w14:paraId="607870F6" w14:textId="77777777"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Справочник конструктора РЭА : компоненты, механизмы, надежность / Н.А. Барканов [и др.] ; под ред. Р.Г. Варламова. – М. : Радио и связь, 1985. – 384 с.</w:t>
      </w:r>
    </w:p>
    <w:p w14:paraId="07927140" w14:textId="77777777"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Справочник конструктора РЭА : общие принципы конструирования / под ред. Р.Г. Варламова. – М. : Сов. радио, 1980. – 480 с.</w:t>
      </w:r>
    </w:p>
    <w:p w14:paraId="180F5C99" w14:textId="77777777" w:rsidR="006115D5" w:rsidRDefault="006115D5" w:rsidP="00EF53E8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Справочник конструктора-приборостроителя / В.Л. Соломахо [и др.]. – Минск : Выш. школа, 1983. – 272 с.</w:t>
      </w:r>
    </w:p>
    <w:p w14:paraId="206023D7" w14:textId="77777777"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34BA2CF" w14:textId="77777777" w:rsidR="005D0C80" w:rsidRP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Вопросы разработали:</w:t>
      </w:r>
    </w:p>
    <w:p w14:paraId="27B19F6A" w14:textId="77777777" w:rsidR="00774B9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АЛЕКСЕЕВ Виктор Федорович – канд.техн.наук, доцент</w:t>
      </w:r>
    </w:p>
    <w:p w14:paraId="643D7288" w14:textId="77777777" w:rsidR="003608E5" w:rsidRPr="00055FB5" w:rsidRDefault="003608E5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ПИСКУН Геннадий Адамович – </w:t>
      </w:r>
      <w:r w:rsidRPr="005D0C80">
        <w:rPr>
          <w:rFonts w:ascii="Times New Roman" w:hAnsi="Times New Roman" w:cs="Times New Roman"/>
          <w:sz w:val="28"/>
          <w:szCs w:val="28"/>
        </w:rPr>
        <w:t>канд.техн.наук, доцент</w:t>
      </w:r>
    </w:p>
    <w:sectPr w:rsidR="003608E5" w:rsidRPr="00055FB5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B051" w14:textId="77777777" w:rsidR="00E37FF9" w:rsidRDefault="00E37FF9" w:rsidP="002B78F6">
      <w:r>
        <w:separator/>
      </w:r>
    </w:p>
  </w:endnote>
  <w:endnote w:type="continuationSeparator" w:id="0">
    <w:p w14:paraId="306BE5A7" w14:textId="77777777" w:rsidR="00E37FF9" w:rsidRDefault="00E37FF9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120C" w14:textId="77777777" w:rsidR="00E37FF9" w:rsidRDefault="00E37FF9" w:rsidP="002B78F6">
      <w:r>
        <w:separator/>
      </w:r>
    </w:p>
  </w:footnote>
  <w:footnote w:type="continuationSeparator" w:id="0">
    <w:p w14:paraId="5E0C7321" w14:textId="77777777" w:rsidR="00E37FF9" w:rsidRDefault="00E37FF9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C383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473308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2B0E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4229">
      <w:rPr>
        <w:rStyle w:val="a8"/>
        <w:noProof/>
      </w:rPr>
      <w:t>2</w:t>
    </w:r>
    <w:r>
      <w:rPr>
        <w:rStyle w:val="a8"/>
      </w:rPr>
      <w:fldChar w:fldCharType="end"/>
    </w:r>
  </w:p>
  <w:p w14:paraId="6BBA82C9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2184C"/>
    <w:rsid w:val="00023A65"/>
    <w:rsid w:val="0003218C"/>
    <w:rsid w:val="00046624"/>
    <w:rsid w:val="00054A93"/>
    <w:rsid w:val="00055FB5"/>
    <w:rsid w:val="00060568"/>
    <w:rsid w:val="00072833"/>
    <w:rsid w:val="000826D8"/>
    <w:rsid w:val="00083D6C"/>
    <w:rsid w:val="00094229"/>
    <w:rsid w:val="000A2D34"/>
    <w:rsid w:val="000A4268"/>
    <w:rsid w:val="000B0DDF"/>
    <w:rsid w:val="000B16F3"/>
    <w:rsid w:val="000B7A2E"/>
    <w:rsid w:val="000E116D"/>
    <w:rsid w:val="000E5CF8"/>
    <w:rsid w:val="000E642C"/>
    <w:rsid w:val="00123FD7"/>
    <w:rsid w:val="00127F76"/>
    <w:rsid w:val="00131E9A"/>
    <w:rsid w:val="0014487E"/>
    <w:rsid w:val="00146A4A"/>
    <w:rsid w:val="00181BAD"/>
    <w:rsid w:val="00184D44"/>
    <w:rsid w:val="00195E00"/>
    <w:rsid w:val="001C0CB0"/>
    <w:rsid w:val="001C7219"/>
    <w:rsid w:val="001D1DE5"/>
    <w:rsid w:val="002466A8"/>
    <w:rsid w:val="00264B98"/>
    <w:rsid w:val="00273A27"/>
    <w:rsid w:val="00274588"/>
    <w:rsid w:val="002812FF"/>
    <w:rsid w:val="00283008"/>
    <w:rsid w:val="002948A5"/>
    <w:rsid w:val="00295DFF"/>
    <w:rsid w:val="002B03AC"/>
    <w:rsid w:val="002B78F6"/>
    <w:rsid w:val="002C4548"/>
    <w:rsid w:val="002E0821"/>
    <w:rsid w:val="002E3B8A"/>
    <w:rsid w:val="002F794D"/>
    <w:rsid w:val="00314709"/>
    <w:rsid w:val="00314910"/>
    <w:rsid w:val="003160C7"/>
    <w:rsid w:val="0033737A"/>
    <w:rsid w:val="00342E68"/>
    <w:rsid w:val="003608E5"/>
    <w:rsid w:val="00364042"/>
    <w:rsid w:val="003C0A91"/>
    <w:rsid w:val="003C27D1"/>
    <w:rsid w:val="003D507A"/>
    <w:rsid w:val="003D643D"/>
    <w:rsid w:val="00405ADB"/>
    <w:rsid w:val="0041178E"/>
    <w:rsid w:val="00414C5C"/>
    <w:rsid w:val="00415399"/>
    <w:rsid w:val="00416441"/>
    <w:rsid w:val="004170F6"/>
    <w:rsid w:val="0042253E"/>
    <w:rsid w:val="00424853"/>
    <w:rsid w:val="00424926"/>
    <w:rsid w:val="00433014"/>
    <w:rsid w:val="00447D68"/>
    <w:rsid w:val="00470806"/>
    <w:rsid w:val="004740B2"/>
    <w:rsid w:val="00485666"/>
    <w:rsid w:val="00486F69"/>
    <w:rsid w:val="004B5D85"/>
    <w:rsid w:val="004E1FC8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645C"/>
    <w:rsid w:val="005E163A"/>
    <w:rsid w:val="005E1C69"/>
    <w:rsid w:val="005E6C07"/>
    <w:rsid w:val="006115D5"/>
    <w:rsid w:val="0061396F"/>
    <w:rsid w:val="006169C6"/>
    <w:rsid w:val="00623487"/>
    <w:rsid w:val="006304D6"/>
    <w:rsid w:val="00651C23"/>
    <w:rsid w:val="00684569"/>
    <w:rsid w:val="006915D2"/>
    <w:rsid w:val="006B785C"/>
    <w:rsid w:val="006C342A"/>
    <w:rsid w:val="006F5173"/>
    <w:rsid w:val="00774B90"/>
    <w:rsid w:val="0078222C"/>
    <w:rsid w:val="007A3310"/>
    <w:rsid w:val="007C4447"/>
    <w:rsid w:val="007D01C3"/>
    <w:rsid w:val="007D5464"/>
    <w:rsid w:val="008040AC"/>
    <w:rsid w:val="00816410"/>
    <w:rsid w:val="008469FD"/>
    <w:rsid w:val="008532C1"/>
    <w:rsid w:val="00853605"/>
    <w:rsid w:val="008565C8"/>
    <w:rsid w:val="0086303C"/>
    <w:rsid w:val="008649C8"/>
    <w:rsid w:val="008826F6"/>
    <w:rsid w:val="00896321"/>
    <w:rsid w:val="008B50E8"/>
    <w:rsid w:val="008C53D4"/>
    <w:rsid w:val="009678F0"/>
    <w:rsid w:val="009B7986"/>
    <w:rsid w:val="009E7403"/>
    <w:rsid w:val="009F0E86"/>
    <w:rsid w:val="00A0685B"/>
    <w:rsid w:val="00A15A2B"/>
    <w:rsid w:val="00A27F00"/>
    <w:rsid w:val="00A732A5"/>
    <w:rsid w:val="00A9375E"/>
    <w:rsid w:val="00AA52D1"/>
    <w:rsid w:val="00AF0DF9"/>
    <w:rsid w:val="00AF15EA"/>
    <w:rsid w:val="00AF6F05"/>
    <w:rsid w:val="00B42E3D"/>
    <w:rsid w:val="00B67AEF"/>
    <w:rsid w:val="00B73A44"/>
    <w:rsid w:val="00B74F8F"/>
    <w:rsid w:val="00B878EA"/>
    <w:rsid w:val="00BA3C1C"/>
    <w:rsid w:val="00BD7A06"/>
    <w:rsid w:val="00BE5F93"/>
    <w:rsid w:val="00BF156F"/>
    <w:rsid w:val="00C003DF"/>
    <w:rsid w:val="00C01446"/>
    <w:rsid w:val="00C205EC"/>
    <w:rsid w:val="00C2202F"/>
    <w:rsid w:val="00C57A2B"/>
    <w:rsid w:val="00C631DB"/>
    <w:rsid w:val="00C648F1"/>
    <w:rsid w:val="00C71B49"/>
    <w:rsid w:val="00C74F40"/>
    <w:rsid w:val="00C97328"/>
    <w:rsid w:val="00CB672B"/>
    <w:rsid w:val="00CD31C0"/>
    <w:rsid w:val="00CF1BB1"/>
    <w:rsid w:val="00D11356"/>
    <w:rsid w:val="00D16A46"/>
    <w:rsid w:val="00D26B09"/>
    <w:rsid w:val="00D34796"/>
    <w:rsid w:val="00D4328B"/>
    <w:rsid w:val="00D448D3"/>
    <w:rsid w:val="00D569C6"/>
    <w:rsid w:val="00D574A5"/>
    <w:rsid w:val="00D60CE2"/>
    <w:rsid w:val="00D64E44"/>
    <w:rsid w:val="00DA31D6"/>
    <w:rsid w:val="00DA4E26"/>
    <w:rsid w:val="00DB07A3"/>
    <w:rsid w:val="00DC3D66"/>
    <w:rsid w:val="00DE0D5E"/>
    <w:rsid w:val="00DE31A4"/>
    <w:rsid w:val="00DF7F1C"/>
    <w:rsid w:val="00E012F4"/>
    <w:rsid w:val="00E029B7"/>
    <w:rsid w:val="00E37FF9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C7EAB"/>
    <w:rsid w:val="00ED53EE"/>
    <w:rsid w:val="00ED7DCD"/>
    <w:rsid w:val="00EF1321"/>
    <w:rsid w:val="00EF53E8"/>
    <w:rsid w:val="00F07D0E"/>
    <w:rsid w:val="00F11AFA"/>
    <w:rsid w:val="00F50590"/>
    <w:rsid w:val="00F663DC"/>
    <w:rsid w:val="00F756DB"/>
    <w:rsid w:val="00F76A93"/>
    <w:rsid w:val="00F8185E"/>
    <w:rsid w:val="00F93C34"/>
    <w:rsid w:val="00FA1A58"/>
    <w:rsid w:val="00FB06C2"/>
    <w:rsid w:val="00FB45BD"/>
    <w:rsid w:val="00FC6037"/>
    <w:rsid w:val="00FE327C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4BB85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alexvikt.minsk@gmail.com</cp:lastModifiedBy>
  <cp:revision>9</cp:revision>
  <dcterms:created xsi:type="dcterms:W3CDTF">2024-05-07T13:45:00Z</dcterms:created>
  <dcterms:modified xsi:type="dcterms:W3CDTF">2024-05-27T09:31:00Z</dcterms:modified>
</cp:coreProperties>
</file>