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7861"/>
      </w:tblGrid>
      <w:tr w:rsidR="007628D6" w:rsidRPr="007628D6" w:rsidTr="00224563">
        <w:trPr>
          <w:trHeight w:val="1"/>
        </w:trPr>
        <w:tc>
          <w:tcPr>
            <w:tcW w:w="1809" w:type="dxa"/>
            <w:shd w:val="clear" w:color="auto" w:fill="auto"/>
            <w:tcMar>
              <w:left w:w="108" w:type="dxa"/>
              <w:right w:w="108" w:type="dxa"/>
            </w:tcMar>
          </w:tcPr>
          <w:p w:rsidR="007628D6" w:rsidRPr="007628D6" w:rsidRDefault="007628D6" w:rsidP="007628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628D6">
              <w:rPr>
                <w:noProof/>
              </w:rPr>
              <w:object w:dxaOrig="1532" w:dyaOrig="1854">
                <v:rect id="rectole0000000000" o:spid="_x0000_i1025" alt="" style="width:76.75pt;height:93.35pt;mso-width-percent:0;mso-height-percent:0;mso-width-percent:0;mso-height-percent:0" o:ole="" o:preferrelative="t" stroked="f">
                  <v:imagedata r:id="rId5" o:title=""/>
                </v:rect>
                <o:OLEObject Type="Embed" ProgID="StaticMetafile" ShapeID="rectole0000000000" DrawAspect="Content" ObjectID="_1777676216" r:id="rId6"/>
              </w:object>
            </w:r>
          </w:p>
        </w:tc>
        <w:tc>
          <w:tcPr>
            <w:tcW w:w="8363" w:type="dxa"/>
            <w:shd w:val="clear" w:color="auto" w:fill="auto"/>
            <w:tcMar>
              <w:left w:w="108" w:type="dxa"/>
              <w:right w:w="108" w:type="dxa"/>
            </w:tcMar>
          </w:tcPr>
          <w:p w:rsidR="007628D6" w:rsidRPr="007628D6" w:rsidRDefault="007628D6" w:rsidP="007628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628D6">
              <w:rPr>
                <w:noProof/>
              </w:rPr>
              <w:object w:dxaOrig="7821" w:dyaOrig="1854">
                <v:rect id="rectole0000000001" o:spid="_x0000_i1026" alt="" style="width:390.85pt;height:93.35pt;mso-width-percent:0;mso-height-percent:0;mso-width-percent:0;mso-height-percent:0" o:ole="" o:preferrelative="t" stroked="f">
                  <v:imagedata r:id="rId7" o:title=""/>
                </v:rect>
                <o:OLEObject Type="Embed" ProgID="StaticMetafile" ShapeID="rectole0000000001" DrawAspect="Content" ObjectID="_1777676217" r:id="rId8"/>
              </w:object>
            </w:r>
          </w:p>
        </w:tc>
      </w:tr>
    </w:tbl>
    <w:p w:rsidR="007628D6" w:rsidRPr="007628D6" w:rsidRDefault="007628D6" w:rsidP="007628D6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800080"/>
          <w:sz w:val="32"/>
          <w:lang w:val="ru-RU"/>
        </w:rPr>
      </w:pPr>
    </w:p>
    <w:p w:rsidR="007628D6" w:rsidRPr="007628D6" w:rsidRDefault="007628D6" w:rsidP="007628D6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</w:pPr>
      <w:r w:rsidRPr="007628D6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ВОПРОСЫ</w:t>
      </w:r>
      <w:r w:rsidRPr="007628D6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7628D6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К</w:t>
      </w:r>
      <w:r w:rsidRPr="007628D6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7628D6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ЗАЧЕТУ</w:t>
      </w:r>
    </w:p>
    <w:p w:rsidR="007628D6" w:rsidRPr="007628D6" w:rsidRDefault="007628D6" w:rsidP="007628D6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</w:pPr>
      <w:r w:rsidRPr="007628D6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по</w:t>
      </w:r>
      <w:r w:rsidRPr="007628D6"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  <w:t xml:space="preserve"> </w:t>
      </w:r>
      <w:r w:rsidRPr="007628D6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дисциплине</w:t>
      </w:r>
    </w:p>
    <w:p w:rsidR="00753DD1" w:rsidRDefault="007628D6" w:rsidP="007628D6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r w:rsidRPr="007628D6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«</w:t>
      </w:r>
      <w:r w:rsidRPr="007628D6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 xml:space="preserve">ОБЛАЧНЫЕ ВЫЧИСЛЕНИЯ И ОБРАБОТКА ДАННЫХ </w:t>
      </w:r>
    </w:p>
    <w:p w:rsidR="007628D6" w:rsidRPr="007628D6" w:rsidRDefault="007628D6" w:rsidP="007628D6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bookmarkStart w:id="0" w:name="_GoBack"/>
      <w:bookmarkEnd w:id="0"/>
      <w:r w:rsidRPr="007628D6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В ЭЛЕКТРОННЫХ СИСТЕМАХ</w:t>
      </w:r>
      <w:r w:rsidRPr="007628D6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»</w:t>
      </w:r>
    </w:p>
    <w:p w:rsidR="007628D6" w:rsidRPr="007628D6" w:rsidRDefault="007628D6" w:rsidP="007628D6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</w:pPr>
      <w:r w:rsidRPr="007628D6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Весенний</w:t>
      </w:r>
      <w:r w:rsidRPr="007628D6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7628D6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семестр</w:t>
      </w:r>
      <w:r w:rsidRPr="007628D6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2023-2024 </w:t>
      </w:r>
      <w:r w:rsidRPr="007628D6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учебного</w:t>
      </w:r>
      <w:r w:rsidRPr="007628D6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7628D6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года</w:t>
      </w:r>
    </w:p>
    <w:p w:rsidR="007628D6" w:rsidRPr="007628D6" w:rsidRDefault="007628D6" w:rsidP="007628D6">
      <w:pPr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r w:rsidRPr="007628D6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 xml:space="preserve">Специальность </w:t>
      </w:r>
      <w:r w:rsidR="000D780F" w:rsidRPr="000D780F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>1-39 03 02 Программируемые мобильные системы</w:t>
      </w:r>
    </w:p>
    <w:p w:rsidR="007628D6" w:rsidRPr="007628D6" w:rsidRDefault="007628D6" w:rsidP="007628D6">
      <w:pPr>
        <w:tabs>
          <w:tab w:val="left" w:pos="-3686"/>
        </w:tabs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r w:rsidRPr="007628D6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(группы </w:t>
      </w:r>
      <w:r w:rsidR="004E33E2" w:rsidRPr="00A4508A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113871</w:t>
      </w:r>
      <w:r w:rsidRPr="007628D6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)</w:t>
      </w:r>
    </w:p>
    <w:p w:rsidR="007628D6" w:rsidRPr="007628D6" w:rsidRDefault="007628D6" w:rsidP="007628D6">
      <w:pPr>
        <w:rPr>
          <w:lang w:val="ru-RU"/>
        </w:rPr>
      </w:pPr>
    </w:p>
    <w:p w:rsidR="008E1503" w:rsidRPr="002E3D3C" w:rsidRDefault="00753DD1">
      <w:pPr>
        <w:rPr>
          <w:lang w:val="ru-RU"/>
        </w:rPr>
      </w:pPr>
    </w:p>
    <w:p w:rsidR="002E3D3C" w:rsidRDefault="002E3D3C" w:rsidP="002F68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об облачных вычислениях. Понятие «облака» в облачных вычислениях. </w:t>
      </w:r>
    </w:p>
    <w:p w:rsidR="002E3D3C" w:rsidRDefault="002E3D3C" w:rsidP="002F68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Принципы организации распределенных вычислений. Понятие центра обработки данных. </w:t>
      </w:r>
    </w:p>
    <w:p w:rsidR="002E3D3C" w:rsidRDefault="002E3D3C" w:rsidP="002F68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Основные элементы концепции облачных вычислений. Особенности информационной технологии облачных вычислений. </w:t>
      </w:r>
    </w:p>
    <w:p w:rsidR="00477F5B" w:rsidRDefault="002E3D3C" w:rsidP="00672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7F5B">
        <w:rPr>
          <w:rFonts w:ascii="Times New Roman" w:hAnsi="Times New Roman" w:cs="Times New Roman"/>
          <w:sz w:val="28"/>
          <w:szCs w:val="28"/>
          <w:lang w:val="ru-RU"/>
        </w:rPr>
        <w:t>Преимущества технологии облачных вычислений. Снижение затрат.</w:t>
      </w:r>
      <w:r w:rsidR="00477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Гибкость и скорость. Эффективная масштабируемость. </w:t>
      </w:r>
    </w:p>
    <w:p w:rsidR="002E3D3C" w:rsidRPr="00477F5B" w:rsidRDefault="002E3D3C" w:rsidP="006725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Проблемы облачных вычислений. Конфиденциальность. Небезопасные интерфейсы. Сбои и потеря данных. Зависимости и гарантии поддержки. </w:t>
      </w:r>
    </w:p>
    <w:p w:rsidR="002E3D3C" w:rsidRPr="002E3D3C" w:rsidRDefault="002E3D3C" w:rsidP="002F684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Препятствия развитию облачных технологий в Республике Беларусь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Стандартный набор облачных услуг.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и отечественные стандарты и руководства по использованию облачных вычислений.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Виртуализация и облачные технологии. Облако в рамках сетевой инфраструктуры.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Обзор моделей развертывания и обслуживания облачных вычислений.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Вопросы информационной безопасности в облачной инфраструктуре.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Физический и программный уровень облачной инфраструктуры.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Современные тенденции развития облачных вычислений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Слои облачных сервисов и приложений. Инфраструктура как услуга (</w:t>
      </w:r>
      <w:r w:rsidRPr="002E3D3C">
        <w:rPr>
          <w:rFonts w:ascii="Times New Roman" w:hAnsi="Times New Roman" w:cs="Times New Roman"/>
          <w:sz w:val="28"/>
          <w:szCs w:val="28"/>
        </w:rPr>
        <w:t>IaaS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). Платформа как услуга (</w:t>
      </w:r>
      <w:r w:rsidRPr="002E3D3C">
        <w:rPr>
          <w:rFonts w:ascii="Times New Roman" w:hAnsi="Times New Roman" w:cs="Times New Roman"/>
          <w:sz w:val="28"/>
          <w:szCs w:val="28"/>
        </w:rPr>
        <w:t>PaaS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). Сервис как услуга (</w:t>
      </w:r>
      <w:r w:rsidRPr="002E3D3C">
        <w:rPr>
          <w:rFonts w:ascii="Times New Roman" w:hAnsi="Times New Roman" w:cs="Times New Roman"/>
          <w:sz w:val="28"/>
          <w:szCs w:val="28"/>
        </w:rPr>
        <w:t>SaaS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2E3D3C">
        <w:rPr>
          <w:rFonts w:ascii="Times New Roman" w:hAnsi="Times New Roman" w:cs="Times New Roman"/>
          <w:sz w:val="28"/>
          <w:szCs w:val="28"/>
          <w:lang w:val="ru-RU"/>
        </w:rPr>
        <w:t>Контейризация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Инструменты </w:t>
      </w:r>
      <w:r w:rsidRPr="002E3D3C">
        <w:rPr>
          <w:rFonts w:ascii="Times New Roman" w:hAnsi="Times New Roman" w:cs="Times New Roman"/>
          <w:sz w:val="28"/>
          <w:szCs w:val="28"/>
        </w:rPr>
        <w:t>Docker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E3D3C">
        <w:rPr>
          <w:rFonts w:ascii="Times New Roman" w:hAnsi="Times New Roman" w:cs="Times New Roman"/>
          <w:sz w:val="28"/>
          <w:szCs w:val="28"/>
        </w:rPr>
        <w:t>Kubernetes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Типы облаков. Публичное облако (</w:t>
      </w:r>
      <w:r w:rsidRPr="002E3D3C">
        <w:rPr>
          <w:rFonts w:ascii="Times New Roman" w:hAnsi="Times New Roman" w:cs="Times New Roman"/>
          <w:sz w:val="28"/>
          <w:szCs w:val="28"/>
        </w:rPr>
        <w:t>Public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cloud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). Частное облако (</w:t>
      </w:r>
      <w:r w:rsidRPr="002E3D3C">
        <w:rPr>
          <w:rFonts w:ascii="Times New Roman" w:hAnsi="Times New Roman" w:cs="Times New Roman"/>
          <w:sz w:val="28"/>
          <w:szCs w:val="28"/>
        </w:rPr>
        <w:t>Private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cloud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). Гибридное облако (</w:t>
      </w:r>
      <w:r w:rsidRPr="002E3D3C">
        <w:rPr>
          <w:rFonts w:ascii="Times New Roman" w:hAnsi="Times New Roman" w:cs="Times New Roman"/>
          <w:sz w:val="28"/>
          <w:szCs w:val="28"/>
        </w:rPr>
        <w:t>Hybrid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cloud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2E3D3C">
        <w:rPr>
          <w:rFonts w:ascii="Times New Roman" w:hAnsi="Times New Roman" w:cs="Times New Roman"/>
          <w:sz w:val="28"/>
          <w:szCs w:val="28"/>
          <w:lang w:val="ru-RU"/>
        </w:rPr>
        <w:t>Мультиоблако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Multicloud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Понятие «‎Интернета вещей». Интернет вещей (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>). Профессиональные ИТ - сертификации в области облачных вычислений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Обзор популярных сервисов для облачных вычислений. Облачные сервисы хранения данных.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Облачные сервисы </w:t>
      </w:r>
      <w:r w:rsidRPr="002E3D3C">
        <w:rPr>
          <w:rFonts w:ascii="Times New Roman" w:hAnsi="Times New Roman" w:cs="Times New Roman"/>
          <w:sz w:val="28"/>
          <w:szCs w:val="28"/>
        </w:rPr>
        <w:t>Google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для каждодневной работы. Облачные сервисы </w:t>
      </w:r>
      <w:r w:rsidRPr="002E3D3C">
        <w:rPr>
          <w:rFonts w:ascii="Times New Roman" w:hAnsi="Times New Roman" w:cs="Times New Roman"/>
          <w:sz w:val="28"/>
          <w:szCs w:val="28"/>
        </w:rPr>
        <w:t>MS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Office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365 и </w:t>
      </w:r>
      <w:r w:rsidRPr="002E3D3C">
        <w:rPr>
          <w:rFonts w:ascii="Times New Roman" w:hAnsi="Times New Roman" w:cs="Times New Roman"/>
          <w:sz w:val="28"/>
          <w:szCs w:val="28"/>
        </w:rPr>
        <w:t>MS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Dynamics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365. </w:t>
      </w:r>
    </w:p>
    <w:p w:rsidR="00444B72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Картографические облачные сервисы </w:t>
      </w:r>
      <w:r w:rsidRPr="002E3D3C">
        <w:rPr>
          <w:rFonts w:ascii="Times New Roman" w:hAnsi="Times New Roman" w:cs="Times New Roman"/>
          <w:sz w:val="28"/>
          <w:szCs w:val="28"/>
        </w:rPr>
        <w:t>ESRI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ArcGIS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Online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2E3D3C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2E3D3C">
        <w:rPr>
          <w:rFonts w:ascii="Times New Roman" w:hAnsi="Times New Roman" w:cs="Times New Roman"/>
          <w:sz w:val="28"/>
          <w:szCs w:val="28"/>
          <w:lang w:val="ru-RU"/>
        </w:rPr>
        <w:t>блачные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сервисы </w:t>
      </w:r>
      <w:r w:rsidRPr="002E3D3C">
        <w:rPr>
          <w:rFonts w:ascii="Times New Roman" w:hAnsi="Times New Roman" w:cs="Times New Roman"/>
          <w:sz w:val="28"/>
          <w:szCs w:val="28"/>
        </w:rPr>
        <w:t>Adobe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Облачные </w:t>
      </w:r>
      <w:r w:rsidRPr="002E3D3C">
        <w:rPr>
          <w:rFonts w:ascii="Times New Roman" w:hAnsi="Times New Roman" w:cs="Times New Roman"/>
          <w:sz w:val="28"/>
          <w:szCs w:val="28"/>
        </w:rPr>
        <w:t>VoIP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сервисы.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Обзор популярных платформ облачных вычислений.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Облачные вычисления на платформе </w:t>
      </w:r>
      <w:r w:rsidRPr="002E3D3C">
        <w:rPr>
          <w:rFonts w:ascii="Times New Roman" w:hAnsi="Times New Roman" w:cs="Times New Roman"/>
          <w:sz w:val="28"/>
          <w:szCs w:val="28"/>
        </w:rPr>
        <w:t>Amazon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Web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Services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Облачные вычисления на платформе </w:t>
      </w:r>
      <w:r w:rsidRPr="002E3D3C">
        <w:rPr>
          <w:rFonts w:ascii="Times New Roman" w:hAnsi="Times New Roman" w:cs="Times New Roman"/>
          <w:sz w:val="28"/>
          <w:szCs w:val="28"/>
        </w:rPr>
        <w:t>IBM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Cloud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Облачные вычисления на платформе </w:t>
      </w:r>
      <w:r w:rsidRPr="002E3D3C">
        <w:rPr>
          <w:rFonts w:ascii="Times New Roman" w:hAnsi="Times New Roman" w:cs="Times New Roman"/>
          <w:sz w:val="28"/>
          <w:szCs w:val="28"/>
        </w:rPr>
        <w:t>Google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Cloud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Облачные вычисления на платформе </w:t>
      </w:r>
      <w:r w:rsidRPr="002E3D3C">
        <w:rPr>
          <w:rFonts w:ascii="Times New Roman" w:hAnsi="Times New Roman" w:cs="Times New Roman"/>
          <w:sz w:val="28"/>
          <w:szCs w:val="28"/>
        </w:rPr>
        <w:t>Microsoft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Azure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 Облачные вычисления на платформе </w:t>
      </w:r>
      <w:r w:rsidRPr="002E3D3C">
        <w:rPr>
          <w:rFonts w:ascii="Times New Roman" w:hAnsi="Times New Roman" w:cs="Times New Roman"/>
          <w:sz w:val="28"/>
          <w:szCs w:val="28"/>
        </w:rPr>
        <w:t>Oracle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Cloud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Облачная платформа компании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SalesForce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Облачная платформа компании </w:t>
      </w:r>
      <w:r w:rsidRPr="002E3D3C">
        <w:rPr>
          <w:rFonts w:ascii="Times New Roman" w:hAnsi="Times New Roman" w:cs="Times New Roman"/>
          <w:sz w:val="28"/>
          <w:szCs w:val="28"/>
        </w:rPr>
        <w:t>SAP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SE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. Использование облачных платформ в Интернете вещей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Характеристика «больших данных». Большие данные как объект изучения. Операционные данные. «Темные» данные. Коммерческие данные. Официальные данные. Данные социальных сетей.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Методы работы с большими данными. Описание источников данных (база данных, схема, таблица, поле).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Основные ошибки при сборе больших данных. 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Статистическая обработка «больших данных» с использованием языка программирования </w:t>
      </w:r>
      <w:r w:rsidRPr="002E3D3C">
        <w:rPr>
          <w:rFonts w:ascii="Times New Roman" w:hAnsi="Times New Roman" w:cs="Times New Roman"/>
          <w:sz w:val="28"/>
          <w:szCs w:val="28"/>
        </w:rPr>
        <w:t>R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Базы «больших данных». </w:t>
      </w:r>
      <w:r w:rsidRPr="002E3D3C">
        <w:rPr>
          <w:rFonts w:ascii="Times New Roman" w:hAnsi="Times New Roman" w:cs="Times New Roman"/>
          <w:sz w:val="28"/>
          <w:szCs w:val="28"/>
        </w:rPr>
        <w:t>Big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data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(большие данные).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</w:rPr>
        <w:t>Data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science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(наука о данных). </w:t>
      </w:r>
    </w:p>
    <w:p w:rsidR="00D52597" w:rsidRDefault="002E3D3C" w:rsidP="001F4D0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597">
        <w:rPr>
          <w:rFonts w:ascii="Times New Roman" w:hAnsi="Times New Roman" w:cs="Times New Roman"/>
          <w:sz w:val="28"/>
          <w:szCs w:val="28"/>
        </w:rPr>
        <w:t>Machine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597">
        <w:rPr>
          <w:rFonts w:ascii="Times New Roman" w:hAnsi="Times New Roman" w:cs="Times New Roman"/>
          <w:sz w:val="28"/>
          <w:szCs w:val="28"/>
        </w:rPr>
        <w:t>learning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(машинное обучение). </w:t>
      </w:r>
      <w:r w:rsidRPr="00D52597">
        <w:rPr>
          <w:rFonts w:ascii="Times New Roman" w:hAnsi="Times New Roman" w:cs="Times New Roman"/>
          <w:sz w:val="28"/>
          <w:szCs w:val="28"/>
        </w:rPr>
        <w:t>Deep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597">
        <w:rPr>
          <w:rFonts w:ascii="Times New Roman" w:hAnsi="Times New Roman" w:cs="Times New Roman"/>
          <w:sz w:val="28"/>
          <w:szCs w:val="28"/>
        </w:rPr>
        <w:t>learning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(глубокое обучение). </w:t>
      </w:r>
    </w:p>
    <w:p w:rsidR="00D52597" w:rsidRDefault="002E3D3C" w:rsidP="001F4D0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Специализированные подходы к работе с базами данных. </w:t>
      </w:r>
      <w:r w:rsidRPr="00D52597">
        <w:rPr>
          <w:rFonts w:ascii="Times New Roman" w:hAnsi="Times New Roman" w:cs="Times New Roman"/>
          <w:sz w:val="28"/>
          <w:szCs w:val="28"/>
        </w:rPr>
        <w:t>NoSQL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52597">
        <w:rPr>
          <w:rFonts w:ascii="Times New Roman" w:hAnsi="Times New Roman" w:cs="Times New Roman"/>
          <w:sz w:val="28"/>
          <w:szCs w:val="28"/>
        </w:rPr>
        <w:t>Not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597">
        <w:rPr>
          <w:rFonts w:ascii="Times New Roman" w:hAnsi="Times New Roman" w:cs="Times New Roman"/>
          <w:sz w:val="28"/>
          <w:szCs w:val="28"/>
        </w:rPr>
        <w:t>only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597">
        <w:rPr>
          <w:rFonts w:ascii="Times New Roman" w:hAnsi="Times New Roman" w:cs="Times New Roman"/>
          <w:sz w:val="28"/>
          <w:szCs w:val="28"/>
        </w:rPr>
        <w:t>SQL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D52597">
        <w:rPr>
          <w:rFonts w:ascii="Times New Roman" w:hAnsi="Times New Roman" w:cs="Times New Roman"/>
          <w:sz w:val="28"/>
          <w:szCs w:val="28"/>
        </w:rPr>
        <w:t>MongoDB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(документно-ориентированная база данных для построения нетрадиционных, не обязательно реляционных и строго структурированных баз данных). </w:t>
      </w:r>
    </w:p>
    <w:p w:rsidR="00D52597" w:rsidRDefault="002E3D3C" w:rsidP="001F4D0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597">
        <w:rPr>
          <w:rFonts w:ascii="Times New Roman" w:hAnsi="Times New Roman" w:cs="Times New Roman"/>
          <w:sz w:val="28"/>
          <w:szCs w:val="28"/>
        </w:rPr>
        <w:t>Hadoop</w:t>
      </w: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– программное обеспечение с открытым кодом в парадигме </w:t>
      </w:r>
      <w:proofErr w:type="spellStart"/>
      <w:r w:rsidRPr="00D52597">
        <w:rPr>
          <w:rFonts w:ascii="Times New Roman" w:hAnsi="Times New Roman" w:cs="Times New Roman"/>
          <w:sz w:val="28"/>
          <w:szCs w:val="28"/>
        </w:rPr>
        <w:t>MapReduce</w:t>
      </w:r>
      <w:proofErr w:type="spellEnd"/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Pr="00D52597" w:rsidRDefault="002E3D3C" w:rsidP="001F4D0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2597">
        <w:rPr>
          <w:rFonts w:ascii="Times New Roman" w:hAnsi="Times New Roman" w:cs="Times New Roman"/>
          <w:sz w:val="28"/>
          <w:szCs w:val="28"/>
        </w:rPr>
        <w:lastRenderedPageBreak/>
        <w:t>Clickhouse</w:t>
      </w:r>
      <w:proofErr w:type="spellEnd"/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 – свободно-распространяемое, горизонтально масштабируемое программное обеспечение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технологии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Pajek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Построение сети с использованием программного обеспечения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Pajek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классификаций для упорядочивания данных. Определение плотных участков сети при помощи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Pajek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>. Расчеты центральностей вершин и централизации сети. Сбор текстовых данных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Виды данных, генерируемых пользователями, подходы к их получению и систематизации.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Сбор данных через </w:t>
      </w:r>
      <w:r w:rsidRPr="002E3D3C">
        <w:rPr>
          <w:rFonts w:ascii="Times New Roman" w:hAnsi="Times New Roman" w:cs="Times New Roman"/>
          <w:sz w:val="28"/>
          <w:szCs w:val="28"/>
        </w:rPr>
        <w:t>API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Пример работы с </w:t>
      </w:r>
      <w:r w:rsidRPr="002E3D3C">
        <w:rPr>
          <w:rFonts w:ascii="Times New Roman" w:hAnsi="Times New Roman" w:cs="Times New Roman"/>
          <w:sz w:val="28"/>
          <w:szCs w:val="28"/>
        </w:rPr>
        <w:t>API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для выгрузки данных из электронных библиотек и социальных сетей.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Сбор данных без использования </w:t>
      </w:r>
      <w:r w:rsidRPr="002E3D3C">
        <w:rPr>
          <w:rFonts w:ascii="Times New Roman" w:hAnsi="Times New Roman" w:cs="Times New Roman"/>
          <w:sz w:val="28"/>
          <w:szCs w:val="28"/>
        </w:rPr>
        <w:t>API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Программное обеспечение для </w:t>
      </w:r>
      <w:proofErr w:type="spellStart"/>
      <w:r w:rsidRPr="002E3D3C">
        <w:rPr>
          <w:rFonts w:ascii="Times New Roman" w:hAnsi="Times New Roman" w:cs="Times New Roman"/>
          <w:sz w:val="28"/>
          <w:szCs w:val="28"/>
          <w:lang w:val="ru-RU"/>
        </w:rPr>
        <w:t>парсинга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сайтов, порталов публикаций и социальных сетей.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СУБД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clickhouse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клиент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dbeaver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для обращения к БД. </w:t>
      </w:r>
      <w:r w:rsidRPr="002E3D3C">
        <w:rPr>
          <w:rFonts w:ascii="Times New Roman" w:hAnsi="Times New Roman" w:cs="Times New Roman"/>
          <w:sz w:val="28"/>
          <w:szCs w:val="28"/>
        </w:rPr>
        <w:t>C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оставление </w:t>
      </w:r>
      <w:r w:rsidRPr="002E3D3C">
        <w:rPr>
          <w:rFonts w:ascii="Times New Roman" w:hAnsi="Times New Roman" w:cs="Times New Roman"/>
          <w:sz w:val="28"/>
          <w:szCs w:val="28"/>
        </w:rPr>
        <w:t>SQL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запросов к витрине данных.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Начало работы с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DBeaver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</w:t>
      </w:r>
      <w:r w:rsidRPr="002E3D3C">
        <w:rPr>
          <w:rFonts w:ascii="Times New Roman" w:hAnsi="Times New Roman" w:cs="Times New Roman"/>
          <w:sz w:val="28"/>
          <w:szCs w:val="28"/>
        </w:rPr>
        <w:t>SQL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запросов. Базовые </w:t>
      </w:r>
      <w:r w:rsidRPr="002E3D3C">
        <w:rPr>
          <w:rFonts w:ascii="Times New Roman" w:hAnsi="Times New Roman" w:cs="Times New Roman"/>
          <w:sz w:val="28"/>
          <w:szCs w:val="28"/>
        </w:rPr>
        <w:t>SQL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конструкции в терминах колоночной базы данных </w:t>
      </w:r>
      <w:proofErr w:type="spellStart"/>
      <w:r w:rsidRPr="002E3D3C">
        <w:rPr>
          <w:rFonts w:ascii="Times New Roman" w:hAnsi="Times New Roman" w:cs="Times New Roman"/>
          <w:sz w:val="28"/>
          <w:szCs w:val="28"/>
        </w:rPr>
        <w:t>Clickhouse</w:t>
      </w:r>
      <w:proofErr w:type="spellEnd"/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Синтаксис конструкции </w:t>
      </w:r>
      <w:r w:rsidRPr="002E3D3C">
        <w:rPr>
          <w:rFonts w:ascii="Times New Roman" w:hAnsi="Times New Roman" w:cs="Times New Roman"/>
          <w:sz w:val="28"/>
          <w:szCs w:val="28"/>
        </w:rPr>
        <w:t>SELECT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E3D3C">
        <w:rPr>
          <w:rFonts w:ascii="Times New Roman" w:hAnsi="Times New Roman" w:cs="Times New Roman"/>
          <w:sz w:val="28"/>
          <w:szCs w:val="28"/>
        </w:rPr>
        <w:t>COUNT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3D3C">
        <w:rPr>
          <w:rFonts w:ascii="Times New Roman" w:hAnsi="Times New Roman" w:cs="Times New Roman"/>
          <w:sz w:val="28"/>
          <w:szCs w:val="28"/>
        </w:rPr>
        <w:t>UNIQ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и другие агрегатные функции </w:t>
      </w:r>
      <w:r w:rsidRPr="002E3D3C">
        <w:rPr>
          <w:rFonts w:ascii="Times New Roman" w:hAnsi="Times New Roman" w:cs="Times New Roman"/>
          <w:sz w:val="28"/>
          <w:szCs w:val="28"/>
        </w:rPr>
        <w:t>JOIN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Конструкция для объединения таблиц данных. Конструкция для дополнения таблицы данными другого запроса. Составление </w:t>
      </w:r>
      <w:r w:rsidRPr="002E3D3C">
        <w:rPr>
          <w:rFonts w:ascii="Times New Roman" w:hAnsi="Times New Roman" w:cs="Times New Roman"/>
          <w:sz w:val="28"/>
          <w:szCs w:val="28"/>
        </w:rPr>
        <w:t>SQL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запросов к витрине данных. Продвинутые выборки данных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Проектирование витрин данных аналитического решения в колоночных СУБД.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проектирования плоских витрин больших данных. </w:t>
      </w:r>
      <w:r w:rsidRPr="002E3D3C">
        <w:rPr>
          <w:rFonts w:ascii="Times New Roman" w:hAnsi="Times New Roman" w:cs="Times New Roman"/>
          <w:sz w:val="28"/>
          <w:szCs w:val="28"/>
        </w:rPr>
        <w:t>ETL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-процесс извлечения, преобразования и загрузки данных.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Сводные панели руководителей как инструмент. Управления на основе данных системами социальной сферы. </w:t>
      </w:r>
    </w:p>
    <w:p w:rsidR="002E3D3C" w:rsidRPr="00477F5B" w:rsidRDefault="002E3D3C" w:rsidP="00D707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Оценка цифровой зрелости сервисов и систем в социальной сфере. Индексы </w:t>
      </w:r>
      <w:r w:rsidRPr="00477F5B">
        <w:rPr>
          <w:rFonts w:ascii="Times New Roman" w:hAnsi="Times New Roman" w:cs="Times New Roman"/>
          <w:sz w:val="28"/>
          <w:szCs w:val="28"/>
        </w:rPr>
        <w:t>SIMIS</w:t>
      </w: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77F5B">
        <w:rPr>
          <w:rFonts w:ascii="Times New Roman" w:hAnsi="Times New Roman" w:cs="Times New Roman"/>
          <w:sz w:val="28"/>
          <w:szCs w:val="28"/>
        </w:rPr>
        <w:t>SESAM</w:t>
      </w: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. Пример расчета индексов </w:t>
      </w:r>
      <w:r w:rsidRPr="00477F5B">
        <w:rPr>
          <w:rFonts w:ascii="Times New Roman" w:hAnsi="Times New Roman" w:cs="Times New Roman"/>
          <w:sz w:val="28"/>
          <w:szCs w:val="28"/>
        </w:rPr>
        <w:t>SIMIS</w:t>
      </w: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77F5B">
        <w:rPr>
          <w:rFonts w:ascii="Times New Roman" w:hAnsi="Times New Roman" w:cs="Times New Roman"/>
          <w:sz w:val="28"/>
          <w:szCs w:val="28"/>
        </w:rPr>
        <w:t>SESAM</w:t>
      </w:r>
      <w:r w:rsidRPr="00477F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D3C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Основы создания многопользовательских информационно-аналитических систем в обработке данных в социальной сфере.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Пользовательская история. Сценарии использования. Скриншоты.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Специфичные инструменты для </w:t>
      </w:r>
      <w:r w:rsidR="00D52597" w:rsidRPr="002E3D3C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информационно-аналитических систем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E3D3C">
        <w:rPr>
          <w:rFonts w:ascii="Times New Roman" w:hAnsi="Times New Roman" w:cs="Times New Roman"/>
          <w:sz w:val="28"/>
          <w:szCs w:val="28"/>
        </w:rPr>
        <w:t>BI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E3D3C">
        <w:rPr>
          <w:rFonts w:ascii="Times New Roman" w:hAnsi="Times New Roman" w:cs="Times New Roman"/>
          <w:sz w:val="28"/>
          <w:szCs w:val="28"/>
        </w:rPr>
        <w:t>Business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D3C">
        <w:rPr>
          <w:rFonts w:ascii="Times New Roman" w:hAnsi="Times New Roman" w:cs="Times New Roman"/>
          <w:sz w:val="28"/>
          <w:szCs w:val="28"/>
        </w:rPr>
        <w:t>Intelligence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D52597" w:rsidRPr="00D52597" w:rsidRDefault="002E3D3C" w:rsidP="00B022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597">
        <w:rPr>
          <w:rFonts w:ascii="Times New Roman" w:hAnsi="Times New Roman" w:cs="Times New Roman"/>
          <w:sz w:val="28"/>
          <w:szCs w:val="28"/>
          <w:lang w:val="ru-RU"/>
        </w:rPr>
        <w:t xml:space="preserve">Базовые виды аналитических решений. </w:t>
      </w:r>
    </w:p>
    <w:p w:rsidR="00D52597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D3C">
        <w:rPr>
          <w:rFonts w:ascii="Times New Roman" w:hAnsi="Times New Roman" w:cs="Times New Roman"/>
          <w:sz w:val="28"/>
          <w:szCs w:val="28"/>
          <w:lang w:val="ru-RU"/>
        </w:rPr>
        <w:t>Документирование информационно-аналитического решения.</w:t>
      </w:r>
    </w:p>
    <w:p w:rsidR="007628D6" w:rsidRPr="002E3D3C" w:rsidRDefault="002E3D3C" w:rsidP="002E3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59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Составление фиксированных отчётов. Составление многомерных кубов данных</w:t>
      </w:r>
      <w:r w:rsidRPr="002E3D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8D6" w:rsidRPr="00D52597" w:rsidRDefault="007628D6">
      <w:pPr>
        <w:rPr>
          <w:lang w:val="ru-RU"/>
        </w:rPr>
      </w:pPr>
    </w:p>
    <w:p w:rsidR="009F61F5" w:rsidRPr="009F61F5" w:rsidRDefault="009F61F5" w:rsidP="009F61F5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9F61F5">
        <w:rPr>
          <w:rFonts w:ascii="Times New Roman" w:eastAsia="Times New Roman" w:hAnsi="Times New Roman"/>
          <w:sz w:val="28"/>
          <w:lang w:val="ru-RU"/>
        </w:rPr>
        <w:t>Вопросы разработал:</w:t>
      </w:r>
    </w:p>
    <w:p w:rsidR="009F61F5" w:rsidRPr="009F61F5" w:rsidRDefault="009F61F5" w:rsidP="009F61F5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F61F5">
        <w:rPr>
          <w:rFonts w:ascii="Times New Roman" w:eastAsia="Times New Roman" w:hAnsi="Times New Roman"/>
          <w:sz w:val="28"/>
          <w:lang w:val="ru-RU"/>
        </w:rPr>
        <w:t>ДАВЫДОВСКИЙ Анатолий Григорьевич – кандидат биологических наук, магистр технических наук, доцент</w:t>
      </w:r>
    </w:p>
    <w:p w:rsidR="007628D6" w:rsidRPr="009F61F5" w:rsidRDefault="007628D6">
      <w:pPr>
        <w:rPr>
          <w:lang w:val="ru-RU"/>
        </w:rPr>
      </w:pPr>
    </w:p>
    <w:p w:rsidR="007628D6" w:rsidRDefault="007628D6">
      <w:pPr>
        <w:rPr>
          <w:lang w:val="ru-RU"/>
        </w:rPr>
      </w:pPr>
    </w:p>
    <w:p w:rsidR="007628D6" w:rsidRPr="007628D6" w:rsidRDefault="007628D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28D6" w:rsidRDefault="007628D6">
      <w:pPr>
        <w:rPr>
          <w:lang w:val="ru-RU"/>
        </w:rPr>
      </w:pPr>
    </w:p>
    <w:p w:rsidR="007628D6" w:rsidRDefault="007628D6">
      <w:pPr>
        <w:rPr>
          <w:lang w:val="ru-RU"/>
        </w:rPr>
      </w:pPr>
    </w:p>
    <w:p w:rsidR="007628D6" w:rsidRDefault="007628D6">
      <w:pPr>
        <w:rPr>
          <w:lang w:val="ru-RU"/>
        </w:rPr>
      </w:pPr>
    </w:p>
    <w:p w:rsidR="007628D6" w:rsidRPr="007628D6" w:rsidRDefault="007628D6">
      <w:pPr>
        <w:rPr>
          <w:lang w:val="ru-RU"/>
        </w:rPr>
      </w:pPr>
    </w:p>
    <w:sectPr w:rsidR="007628D6" w:rsidRPr="007628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244A6"/>
    <w:multiLevelType w:val="hybridMultilevel"/>
    <w:tmpl w:val="AC527A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D6"/>
    <w:rsid w:val="000D780F"/>
    <w:rsid w:val="002E3D3C"/>
    <w:rsid w:val="00444B72"/>
    <w:rsid w:val="00477F5B"/>
    <w:rsid w:val="004E33E2"/>
    <w:rsid w:val="00753DD1"/>
    <w:rsid w:val="007628D6"/>
    <w:rsid w:val="007964AC"/>
    <w:rsid w:val="009F61F5"/>
    <w:rsid w:val="00A4508A"/>
    <w:rsid w:val="00D52597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F091"/>
  <w15:chartTrackingRefBased/>
  <w15:docId w15:val="{ABD98E49-7146-480F-B588-B49CC6A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Давыдовский</dc:creator>
  <cp:keywords/>
  <dc:description/>
  <cp:lastModifiedBy>Давыдовский </cp:lastModifiedBy>
  <cp:revision>13</cp:revision>
  <dcterms:created xsi:type="dcterms:W3CDTF">2024-05-19T22:27:00Z</dcterms:created>
  <dcterms:modified xsi:type="dcterms:W3CDTF">2024-05-19T23:09:00Z</dcterms:modified>
</cp:coreProperties>
</file>